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209" w:rsidRDefault="00290209" w:rsidP="00F118B9">
      <w:pPr>
        <w:spacing w:before="100" w:beforeAutospacing="1" w:after="100" w:afterAutospacing="1"/>
        <w:outlineLvl w:val="0"/>
        <w:rPr>
          <w:rFonts w:ascii="Times New Roman" w:eastAsia="Times New Roman" w:hAnsi="Times New Roman" w:cs="Times New Roman"/>
          <w:b/>
          <w:bCs/>
          <w:kern w:val="36"/>
          <w:sz w:val="24"/>
          <w:szCs w:val="24"/>
          <w:lang w:eastAsia="de-AT"/>
        </w:rPr>
      </w:pPr>
      <w:r>
        <w:rPr>
          <w:rFonts w:ascii="Times New Roman" w:eastAsia="Times New Roman" w:hAnsi="Times New Roman" w:cs="Times New Roman"/>
          <w:b/>
          <w:bCs/>
          <w:noProof/>
          <w:kern w:val="36"/>
          <w:sz w:val="24"/>
          <w:szCs w:val="24"/>
          <w:lang w:eastAsia="de-AT"/>
        </w:rPr>
        <mc:AlternateContent>
          <mc:Choice Requires="wps">
            <w:drawing>
              <wp:anchor distT="0" distB="0" distL="114300" distR="114300" simplePos="0" relativeHeight="251660288" behindDoc="0" locked="0" layoutInCell="1" allowOverlap="1" wp14:anchorId="0F0A9BE7" wp14:editId="250BA2B8">
                <wp:simplePos x="0" y="0"/>
                <wp:positionH relativeFrom="column">
                  <wp:posOffset>1510665</wp:posOffset>
                </wp:positionH>
                <wp:positionV relativeFrom="paragraph">
                  <wp:posOffset>204437</wp:posOffset>
                </wp:positionV>
                <wp:extent cx="3158836" cy="700644"/>
                <wp:effectExtent l="0" t="0" r="3810" b="4445"/>
                <wp:wrapNone/>
                <wp:docPr id="2" name="Textfeld 2"/>
                <wp:cNvGraphicFramePr/>
                <a:graphic xmlns:a="http://schemas.openxmlformats.org/drawingml/2006/main">
                  <a:graphicData uri="http://schemas.microsoft.com/office/word/2010/wordprocessingShape">
                    <wps:wsp>
                      <wps:cNvSpPr txBox="1"/>
                      <wps:spPr>
                        <a:xfrm>
                          <a:off x="0" y="0"/>
                          <a:ext cx="3158836" cy="700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0209" w:rsidRDefault="00290209"/>
                          <w:p w:rsidR="00290209" w:rsidRDefault="00290209"/>
                          <w:p w:rsidR="00290209" w:rsidRDefault="00290209">
                            <w:r>
                              <w:rPr>
                                <w:noProof/>
                                <w:lang w:eastAsia="de-AT"/>
                              </w:rPr>
                              <w:drawing>
                                <wp:inline distT="0" distB="0" distL="0" distR="0" wp14:anchorId="0D41122D" wp14:editId="146301AC">
                                  <wp:extent cx="2849732" cy="344384"/>
                                  <wp:effectExtent l="0" t="0" r="0" b="0"/>
                                  <wp:docPr id="4" name="Grafik 4" descr="W:\LOGO u. LED\NEU - Brandstetter\SCHRIFTZÜGE\Qualität - Verständnis - Vielfalt - Effizi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LOGO u. LED\NEU - Brandstetter\SCHRIFTZÜGE\Qualität - Verständnis - Vielfalt - Effizien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636" cy="353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8.95pt;margin-top:16.1pt;width:248.75pt;height:5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" fillcolor="white [3201]" stroked="f" strokeweight=".5pt">
                <v:textbox>
                  <w:txbxContent>
                    <w:p w:rsidR="00290209" w:rsidRDefault="00290209"/>
                    <w:p w:rsidR="00290209" w:rsidRDefault="00290209"/>
                    <w:p w:rsidR="00290209" w:rsidRDefault="00290209">
                      <w:r>
                        <w:rPr>
                          <w:noProof/>
                          <w:lang w:eastAsia="de-AT"/>
                        </w:rPr>
                        <w:drawing>
                          <wp:inline distT="0" distB="0" distL="0" distR="0" wp14:anchorId="0D41122D" wp14:editId="146301AC">
                            <wp:extent cx="2849732" cy="344384"/>
                            <wp:effectExtent l="0" t="0" r="0" b="0"/>
                            <wp:docPr id="4" name="Grafik 4" descr="W:\LOGO u. LED\NEU - Brandstetter\SCHRIFTZÜGE\Qualität - Verständnis - Vielfalt - Effizi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LOGO u. LED\NEU - Brandstetter\SCHRIFTZÜGE\Qualität - Verständnis - Vielfalt - Effizien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636" cy="353436"/>
                                    </a:xfrm>
                                    <a:prstGeom prst="rect">
                                      <a:avLst/>
                                    </a:prstGeom>
                                    <a:noFill/>
                                    <a:ln>
                                      <a:noFill/>
                                    </a:ln>
                                  </pic:spPr>
                                </pic:pic>
                              </a:graphicData>
                            </a:graphic>
                          </wp:inline>
                        </w:drawing>
                      </w:r>
                    </w:p>
                  </w:txbxContent>
                </v:textbox>
              </v:shape>
            </w:pict>
          </mc:Fallback>
        </mc:AlternateContent>
      </w:r>
      <w:r w:rsidRPr="00290209">
        <w:rPr>
          <w:rFonts w:ascii="Times New Roman" w:eastAsia="Times New Roman" w:hAnsi="Times New Roman" w:cs="Times New Roman"/>
          <w:b/>
          <w:bCs/>
          <w:noProof/>
          <w:kern w:val="36"/>
          <w:sz w:val="24"/>
          <w:szCs w:val="24"/>
          <w:lang w:eastAsia="de-AT"/>
        </w:rPr>
        <mc:AlternateContent>
          <mc:Choice Requires="wps">
            <w:drawing>
              <wp:anchor distT="0" distB="0" distL="114300" distR="114300" simplePos="0" relativeHeight="251659264" behindDoc="0" locked="0" layoutInCell="1" allowOverlap="1" wp14:anchorId="4A6E305B" wp14:editId="0041DFCA">
                <wp:simplePos x="0" y="0"/>
                <wp:positionH relativeFrom="column">
                  <wp:posOffset>4800361</wp:posOffset>
                </wp:positionH>
                <wp:positionV relativeFrom="paragraph">
                  <wp:posOffset>-151757</wp:posOffset>
                </wp:positionV>
                <wp:extent cx="1655338" cy="1056904"/>
                <wp:effectExtent l="0" t="0" r="254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338" cy="1056904"/>
                        </a:xfrm>
                        <a:prstGeom prst="rect">
                          <a:avLst/>
                        </a:prstGeom>
                        <a:solidFill>
                          <a:srgbClr val="FFFFFF"/>
                        </a:solidFill>
                        <a:ln w="9525">
                          <a:noFill/>
                          <a:miter lim="800000"/>
                          <a:headEnd/>
                          <a:tailEnd/>
                        </a:ln>
                      </wps:spPr>
                      <wps:txbx>
                        <w:txbxContent>
                          <w:p w:rsidR="00290209" w:rsidRDefault="00290209">
                            <w:r>
                              <w:rPr>
                                <w:noProof/>
                                <w:lang w:eastAsia="de-AT"/>
                              </w:rPr>
                              <w:drawing>
                                <wp:inline distT="0" distB="0" distL="0" distR="0" wp14:anchorId="05026E8A" wp14:editId="495769BE">
                                  <wp:extent cx="1463040" cy="1130998"/>
                                  <wp:effectExtent l="0" t="0" r="3810" b="0"/>
                                  <wp:docPr id="1" name="Grafik 1" descr="W:\LOGO u. LED\NEU - Brandstetter\LOGO WEISS\ja-immo-logo png - 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OGO u. LED\NEU - Brandstetter\LOGO WEISS\ja-immo-logo png - freigestell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130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8pt;margin-top:-11.95pt;width:130.35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" stroked="f">
                <v:textbox>
                  <w:txbxContent>
                    <w:p w:rsidR="00290209" w:rsidRDefault="00290209">
                      <w:r>
                        <w:rPr>
                          <w:noProof/>
                          <w:lang w:eastAsia="de-AT"/>
                        </w:rPr>
                        <w:drawing>
                          <wp:inline distT="0" distB="0" distL="0" distR="0" wp14:anchorId="05026E8A" wp14:editId="495769BE">
                            <wp:extent cx="1463040" cy="1130998"/>
                            <wp:effectExtent l="0" t="0" r="3810" b="0"/>
                            <wp:docPr id="1" name="Grafik 1" descr="W:\LOGO u. LED\NEU - Brandstetter\LOGO WEISS\ja-immo-logo png - 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OGO u. LED\NEU - Brandstetter\LOGO WEISS\ja-immo-logo png - freigestell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130998"/>
                                    </a:xfrm>
                                    <a:prstGeom prst="rect">
                                      <a:avLst/>
                                    </a:prstGeom>
                                    <a:noFill/>
                                    <a:ln>
                                      <a:noFill/>
                                    </a:ln>
                                  </pic:spPr>
                                </pic:pic>
                              </a:graphicData>
                            </a:graphic>
                          </wp:inline>
                        </w:drawing>
                      </w:r>
                    </w:p>
                  </w:txbxContent>
                </v:textbox>
              </v:shape>
            </w:pict>
          </mc:Fallback>
        </mc:AlternateContent>
      </w:r>
    </w:p>
    <w:p w:rsidR="00290209" w:rsidRDefault="00290209" w:rsidP="00F118B9">
      <w:pPr>
        <w:spacing w:before="100" w:beforeAutospacing="1" w:after="100" w:afterAutospacing="1"/>
        <w:outlineLvl w:val="0"/>
        <w:rPr>
          <w:rFonts w:ascii="Times New Roman" w:eastAsia="Times New Roman" w:hAnsi="Times New Roman" w:cs="Times New Roman"/>
          <w:b/>
          <w:bCs/>
          <w:kern w:val="36"/>
          <w:sz w:val="24"/>
          <w:szCs w:val="24"/>
          <w:lang w:eastAsia="de-AT"/>
        </w:rPr>
      </w:pPr>
    </w:p>
    <w:p w:rsidR="00290209" w:rsidRDefault="00290209" w:rsidP="00F118B9">
      <w:pPr>
        <w:spacing w:before="100" w:beforeAutospacing="1" w:after="100" w:afterAutospacing="1"/>
        <w:outlineLvl w:val="0"/>
        <w:rPr>
          <w:rFonts w:ascii="Times New Roman" w:eastAsia="Times New Roman" w:hAnsi="Times New Roman" w:cs="Times New Roman"/>
          <w:b/>
          <w:bCs/>
          <w:kern w:val="36"/>
          <w:sz w:val="16"/>
          <w:szCs w:val="16"/>
          <w:lang w:eastAsia="de-AT"/>
        </w:rPr>
      </w:pPr>
    </w:p>
    <w:p w:rsidR="00290209" w:rsidRPr="00290209" w:rsidRDefault="00290209" w:rsidP="00290209">
      <w:pPr>
        <w:spacing w:before="100" w:beforeAutospacing="1" w:after="100" w:afterAutospacing="1"/>
        <w:ind w:left="-284" w:firstLine="284"/>
        <w:outlineLvl w:val="0"/>
        <w:rPr>
          <w:rFonts w:ascii="Times New Roman" w:eastAsia="Times New Roman" w:hAnsi="Times New Roman" w:cs="Times New Roman"/>
          <w:b/>
          <w:bCs/>
          <w:kern w:val="36"/>
          <w:sz w:val="16"/>
          <w:szCs w:val="16"/>
          <w:lang w:eastAsia="de-AT"/>
        </w:rPr>
      </w:pPr>
      <w:r>
        <w:rPr>
          <w:rFonts w:ascii="Times New Roman" w:eastAsia="Times New Roman" w:hAnsi="Times New Roman" w:cs="Times New Roman"/>
          <w:b/>
          <w:bCs/>
          <w:kern w:val="36"/>
          <w:sz w:val="16"/>
          <w:szCs w:val="16"/>
          <w:lang w:eastAsia="de-AT"/>
        </w:rPr>
        <w:t>_________________________________________________________________________________________________________________________</w:t>
      </w:r>
    </w:p>
    <w:p w:rsidR="00290209" w:rsidRPr="00290209" w:rsidRDefault="00290209" w:rsidP="00290209">
      <w:pPr>
        <w:spacing w:before="100" w:beforeAutospacing="1" w:after="100" w:afterAutospacing="1"/>
        <w:outlineLvl w:val="0"/>
        <w:rPr>
          <w:rFonts w:ascii="Arial" w:eastAsia="Times New Roman" w:hAnsi="Arial" w:cs="Arial"/>
          <w:b/>
          <w:bCs/>
          <w:color w:val="F79646" w:themeColor="accent6"/>
          <w:kern w:val="36"/>
          <w:sz w:val="28"/>
          <w:szCs w:val="28"/>
          <w:lang w:eastAsia="de-AT"/>
        </w:rPr>
      </w:pPr>
    </w:p>
    <w:p w:rsidR="00F118B9" w:rsidRPr="00290209" w:rsidRDefault="00F118B9" w:rsidP="00290209">
      <w:pPr>
        <w:spacing w:before="100" w:beforeAutospacing="1" w:after="100" w:afterAutospacing="1"/>
        <w:outlineLvl w:val="0"/>
        <w:rPr>
          <w:rFonts w:ascii="Arial" w:eastAsia="Times New Roman" w:hAnsi="Arial" w:cs="Arial"/>
          <w:b/>
          <w:bCs/>
          <w:kern w:val="36"/>
          <w:sz w:val="28"/>
          <w:szCs w:val="28"/>
          <w:lang w:eastAsia="de-AT"/>
        </w:rPr>
      </w:pPr>
      <w:r w:rsidRPr="00290209">
        <w:rPr>
          <w:rFonts w:ascii="Arial" w:eastAsia="Times New Roman" w:hAnsi="Arial" w:cs="Arial"/>
          <w:b/>
          <w:bCs/>
          <w:color w:val="F79646" w:themeColor="accent6"/>
          <w:kern w:val="36"/>
          <w:sz w:val="28"/>
          <w:szCs w:val="28"/>
          <w:lang w:eastAsia="de-AT"/>
        </w:rPr>
        <w:t>Änderungen bei der Immobilienertragsteuer &amp; Grunderwerbssteuer ab 2016</w:t>
      </w:r>
      <w:r w:rsidRPr="00290209">
        <w:rPr>
          <w:rFonts w:ascii="Arial" w:eastAsia="Times New Roman" w:hAnsi="Arial" w:cs="Arial"/>
          <w:b/>
          <w:bCs/>
          <w:kern w:val="36"/>
          <w:sz w:val="28"/>
          <w:szCs w:val="28"/>
          <w:lang w:eastAsia="de-AT"/>
        </w:rPr>
        <w:t xml:space="preserve"> </w:t>
      </w:r>
      <w:r w:rsidR="00290209">
        <w:rPr>
          <w:rFonts w:ascii="Arial" w:eastAsia="Times New Roman" w:hAnsi="Arial" w:cs="Arial"/>
          <w:b/>
          <w:bCs/>
          <w:kern w:val="36"/>
          <w:sz w:val="28"/>
          <w:szCs w:val="28"/>
          <w:lang w:eastAsia="de-AT"/>
        </w:rPr>
        <w:t xml:space="preserve"> </w:t>
      </w:r>
      <w:r w:rsidRPr="00290209">
        <w:rPr>
          <w:rFonts w:ascii="Arial" w:eastAsia="Times New Roman" w:hAnsi="Arial" w:cs="Arial"/>
          <w:sz w:val="24"/>
          <w:szCs w:val="24"/>
          <w:lang w:eastAsia="de-AT"/>
        </w:rPr>
        <w:t xml:space="preserve">(03. Oktober 2015) </w:t>
      </w:r>
    </w:p>
    <w:p w:rsidR="00F118B9" w:rsidRPr="00290209" w:rsidRDefault="00F118B9" w:rsidP="00F118B9">
      <w:pPr>
        <w:spacing w:before="100" w:beforeAutospacing="1" w:after="100" w:afterAutospacing="1"/>
        <w:rPr>
          <w:rFonts w:ascii="Arial" w:eastAsia="Times New Roman" w:hAnsi="Arial" w:cs="Arial"/>
          <w:sz w:val="24"/>
          <w:szCs w:val="24"/>
          <w:lang w:eastAsia="de-AT"/>
        </w:rPr>
      </w:pPr>
      <w:r w:rsidRPr="00290209">
        <w:rPr>
          <w:rFonts w:ascii="Arial" w:eastAsia="Times New Roman" w:hAnsi="Arial" w:cs="Arial"/>
          <w:sz w:val="24"/>
          <w:szCs w:val="24"/>
          <w:lang w:eastAsia="de-AT"/>
        </w:rPr>
        <w:t>Was sich 2016 bei der Immobilienertragsteuer ändert: Die Immobilienertragssteuer sowie die Grunderwe</w:t>
      </w:r>
      <w:r w:rsidR="00D016BB">
        <w:rPr>
          <w:rFonts w:ascii="Arial" w:eastAsia="Times New Roman" w:hAnsi="Arial" w:cs="Arial"/>
          <w:sz w:val="24"/>
          <w:szCs w:val="24"/>
          <w:lang w:eastAsia="de-AT"/>
        </w:rPr>
        <w:t>r</w:t>
      </w:r>
      <w:r w:rsidRPr="00290209">
        <w:rPr>
          <w:rFonts w:ascii="Arial" w:eastAsia="Times New Roman" w:hAnsi="Arial" w:cs="Arial"/>
          <w:sz w:val="24"/>
          <w:szCs w:val="24"/>
          <w:lang w:eastAsia="de-AT"/>
        </w:rPr>
        <w:t>bssteuer werden erhöht.</w:t>
      </w:r>
    </w:p>
    <w:p w:rsidR="00F118B9" w:rsidRPr="00290209" w:rsidRDefault="00F118B9" w:rsidP="00290209">
      <w:pPr>
        <w:spacing w:before="100" w:beforeAutospacing="1" w:after="100" w:afterAutospacing="1"/>
        <w:jc w:val="both"/>
        <w:rPr>
          <w:rFonts w:ascii="Arial" w:eastAsia="Times New Roman" w:hAnsi="Arial" w:cs="Arial"/>
          <w:sz w:val="24"/>
          <w:szCs w:val="24"/>
          <w:lang w:eastAsia="de-AT"/>
        </w:rPr>
      </w:pPr>
      <w:r w:rsidRPr="00290209">
        <w:rPr>
          <w:rFonts w:ascii="Arial" w:eastAsia="Times New Roman" w:hAnsi="Arial" w:cs="Arial"/>
          <w:b/>
          <w:bCs/>
          <w:sz w:val="24"/>
          <w:szCs w:val="24"/>
          <w:lang w:eastAsia="de-AT"/>
        </w:rPr>
        <w:t xml:space="preserve">Die Immobilien-Ertragsteuer wird angehoben </w:t>
      </w:r>
      <w:r w:rsidRPr="00290209">
        <w:rPr>
          <w:rFonts w:ascii="Arial" w:eastAsia="Times New Roman" w:hAnsi="Arial" w:cs="Arial"/>
          <w:sz w:val="24"/>
          <w:szCs w:val="24"/>
          <w:lang w:eastAsia="de-AT"/>
        </w:rPr>
        <w:t xml:space="preserve">(Immo-ESt). </w:t>
      </w:r>
      <w:r w:rsidRPr="00290209">
        <w:rPr>
          <w:rFonts w:ascii="Arial" w:eastAsia="Times New Roman" w:hAnsi="Arial" w:cs="Arial"/>
          <w:sz w:val="24"/>
          <w:szCs w:val="24"/>
          <w:lang w:eastAsia="de-AT"/>
        </w:rPr>
        <w:br/>
        <w:t xml:space="preserve">Derzeit sind Gewinne aus Immobiliengeschäften mit 25 % besteuert, ab 2016 unterliegen sie einem 30%igem Steuersatz. Dadurch kommt es auch bei Altfällen zu einer Steigerung der effektiven Steuerbelastung von 3,5 % auf 4,2 %, bei Umwidmungen auf 18 %. Die Veräußerung von Hauptwohnsitzen soll jedoch von der Besteuerung weiterhin ausgenommen bleiben. Diskutiert wird auch eine Verbreiterung der Bemessungsgrundlage der Immo-ESt durch den </w:t>
      </w:r>
      <w:proofErr w:type="spellStart"/>
      <w:r w:rsidRPr="00290209">
        <w:rPr>
          <w:rFonts w:ascii="Arial" w:eastAsia="Times New Roman" w:hAnsi="Arial" w:cs="Arial"/>
          <w:sz w:val="24"/>
          <w:szCs w:val="24"/>
          <w:lang w:eastAsia="de-AT"/>
        </w:rPr>
        <w:t>Enfall</w:t>
      </w:r>
      <w:proofErr w:type="spellEnd"/>
      <w:r w:rsidRPr="00290209">
        <w:rPr>
          <w:rFonts w:ascii="Arial" w:eastAsia="Times New Roman" w:hAnsi="Arial" w:cs="Arial"/>
          <w:sz w:val="24"/>
          <w:szCs w:val="24"/>
          <w:lang w:eastAsia="de-AT"/>
        </w:rPr>
        <w:t xml:space="preserve"> des 2 %</w:t>
      </w:r>
      <w:proofErr w:type="spellStart"/>
      <w:r w:rsidRPr="00290209">
        <w:rPr>
          <w:rFonts w:ascii="Arial" w:eastAsia="Times New Roman" w:hAnsi="Arial" w:cs="Arial"/>
          <w:sz w:val="24"/>
          <w:szCs w:val="24"/>
          <w:lang w:eastAsia="de-AT"/>
        </w:rPr>
        <w:t>ige</w:t>
      </w:r>
      <w:proofErr w:type="spellEnd"/>
      <w:r w:rsidRPr="00290209">
        <w:rPr>
          <w:rFonts w:ascii="Arial" w:eastAsia="Times New Roman" w:hAnsi="Arial" w:cs="Arial"/>
          <w:sz w:val="24"/>
          <w:szCs w:val="24"/>
          <w:lang w:eastAsia="de-AT"/>
        </w:rPr>
        <w:t xml:space="preserve"> Inflationsabschlages, der bei der Veräußerung ab dem 11. Besitzjahr geltend gemacht werden konnte.</w:t>
      </w:r>
    </w:p>
    <w:p w:rsidR="00F118B9" w:rsidRPr="00290209" w:rsidRDefault="00F118B9" w:rsidP="00290209">
      <w:pPr>
        <w:spacing w:before="100" w:beforeAutospacing="1" w:after="100" w:afterAutospacing="1"/>
        <w:jc w:val="both"/>
        <w:rPr>
          <w:rFonts w:ascii="Arial" w:eastAsia="Times New Roman" w:hAnsi="Arial" w:cs="Arial"/>
          <w:sz w:val="24"/>
          <w:szCs w:val="24"/>
          <w:lang w:eastAsia="de-AT"/>
        </w:rPr>
      </w:pPr>
      <w:r w:rsidRPr="00290209">
        <w:rPr>
          <w:rFonts w:ascii="Arial" w:eastAsia="Times New Roman" w:hAnsi="Arial" w:cs="Arial"/>
          <w:sz w:val="24"/>
          <w:szCs w:val="24"/>
          <w:lang w:eastAsia="de-AT"/>
        </w:rPr>
        <w:t xml:space="preserve">Auch die </w:t>
      </w:r>
      <w:r w:rsidRPr="00290209">
        <w:rPr>
          <w:rFonts w:ascii="Arial" w:eastAsia="Times New Roman" w:hAnsi="Arial" w:cs="Arial"/>
          <w:b/>
          <w:bCs/>
          <w:sz w:val="24"/>
          <w:szCs w:val="24"/>
          <w:lang w:eastAsia="de-AT"/>
        </w:rPr>
        <w:t xml:space="preserve">Grunderwerbsteuer </w:t>
      </w:r>
      <w:r w:rsidRPr="00290209">
        <w:rPr>
          <w:rFonts w:ascii="Arial" w:eastAsia="Times New Roman" w:hAnsi="Arial" w:cs="Arial"/>
          <w:sz w:val="24"/>
          <w:szCs w:val="24"/>
          <w:lang w:eastAsia="de-AT"/>
        </w:rPr>
        <w:t>(</w:t>
      </w:r>
      <w:proofErr w:type="spellStart"/>
      <w:r w:rsidRPr="00290209">
        <w:rPr>
          <w:rFonts w:ascii="Arial" w:eastAsia="Times New Roman" w:hAnsi="Arial" w:cs="Arial"/>
          <w:sz w:val="24"/>
          <w:szCs w:val="24"/>
          <w:lang w:eastAsia="de-AT"/>
        </w:rPr>
        <w:t>GrESt</w:t>
      </w:r>
      <w:proofErr w:type="spellEnd"/>
      <w:r w:rsidRPr="00290209">
        <w:rPr>
          <w:rFonts w:ascii="Arial" w:eastAsia="Times New Roman" w:hAnsi="Arial" w:cs="Arial"/>
          <w:sz w:val="24"/>
          <w:szCs w:val="24"/>
          <w:lang w:eastAsia="de-AT"/>
        </w:rPr>
        <w:t>) wird steigen. Künftig soll die Steuer auch bei der Weitergabe innerhalb der Familie nach dem Verkehrswert und nicht wie bisher nach dem günstigeren Einheitswert der Immobilie berechnet werden. Bislang mussten beim Übertrag von Immobilien bzw von Grundstücken innerhalb der Familie 2 % vom dreifachen Einheitswert bezahlt werden, unabhängig davon, ob die Immobilie verkauft, verschenkt oder vererbt wurde.</w:t>
      </w:r>
    </w:p>
    <w:p w:rsidR="00F118B9" w:rsidRPr="00290209" w:rsidRDefault="00F118B9" w:rsidP="00290209">
      <w:pPr>
        <w:spacing w:before="100" w:beforeAutospacing="1" w:after="100" w:afterAutospacing="1"/>
        <w:jc w:val="both"/>
        <w:rPr>
          <w:rFonts w:ascii="Arial" w:eastAsia="Times New Roman" w:hAnsi="Arial" w:cs="Arial"/>
          <w:sz w:val="24"/>
          <w:szCs w:val="24"/>
          <w:lang w:eastAsia="de-AT"/>
        </w:rPr>
      </w:pPr>
      <w:r w:rsidRPr="00290209">
        <w:rPr>
          <w:rFonts w:ascii="Arial" w:eastAsia="Times New Roman" w:hAnsi="Arial" w:cs="Arial"/>
          <w:sz w:val="24"/>
          <w:szCs w:val="24"/>
          <w:lang w:eastAsia="de-AT"/>
        </w:rPr>
        <w:t>Ab 2016 soll diese Steuer (wie beim Übertrag außerhalb der Familie) vom Verkehrswert berechnet werden.</w:t>
      </w:r>
    </w:p>
    <w:p w:rsidR="00F118B9" w:rsidRPr="00290209" w:rsidRDefault="00F118B9" w:rsidP="00290209">
      <w:pPr>
        <w:spacing w:before="100" w:beforeAutospacing="1" w:after="100" w:afterAutospacing="1"/>
        <w:jc w:val="both"/>
        <w:rPr>
          <w:rFonts w:ascii="Arial" w:eastAsia="Times New Roman" w:hAnsi="Arial" w:cs="Arial"/>
          <w:sz w:val="24"/>
          <w:szCs w:val="24"/>
          <w:lang w:eastAsia="de-AT"/>
        </w:rPr>
      </w:pPr>
      <w:r w:rsidRPr="00290209">
        <w:rPr>
          <w:rFonts w:ascii="Arial" w:eastAsia="Times New Roman" w:hAnsi="Arial" w:cs="Arial"/>
          <w:sz w:val="24"/>
          <w:szCs w:val="24"/>
          <w:lang w:eastAsia="de-AT"/>
        </w:rPr>
        <w:t xml:space="preserve">Der Tarif bei unentgeltlichen Übertragungen im Familienverbund soll ab 2016 gestaffelt werden. </w:t>
      </w:r>
      <w:r w:rsidRPr="00290209">
        <w:rPr>
          <w:rFonts w:ascii="Arial" w:eastAsia="Times New Roman" w:hAnsi="Arial" w:cs="Arial"/>
          <w:sz w:val="24"/>
          <w:szCs w:val="24"/>
          <w:lang w:eastAsia="de-AT"/>
        </w:rPr>
        <w:br/>
        <w:t>Bei einem Liegenschaftswert</w:t>
      </w:r>
    </w:p>
    <w:p w:rsidR="00F118B9" w:rsidRPr="00290209" w:rsidRDefault="00F118B9" w:rsidP="00F118B9">
      <w:pPr>
        <w:numPr>
          <w:ilvl w:val="0"/>
          <w:numId w:val="1"/>
        </w:numPr>
        <w:spacing w:before="100" w:beforeAutospacing="1" w:after="100" w:afterAutospacing="1"/>
        <w:rPr>
          <w:rFonts w:ascii="Arial" w:eastAsia="Times New Roman" w:hAnsi="Arial" w:cs="Arial"/>
          <w:sz w:val="24"/>
          <w:szCs w:val="24"/>
          <w:lang w:eastAsia="de-AT"/>
        </w:rPr>
      </w:pPr>
      <w:r w:rsidRPr="00290209">
        <w:rPr>
          <w:rFonts w:ascii="Arial" w:eastAsia="Times New Roman" w:hAnsi="Arial" w:cs="Arial"/>
          <w:sz w:val="24"/>
          <w:szCs w:val="24"/>
          <w:lang w:eastAsia="de-AT"/>
        </w:rPr>
        <w:t>bis  € 250.000 sollen 0,5 % gezahlt werden,</w:t>
      </w:r>
    </w:p>
    <w:p w:rsidR="00F118B9" w:rsidRPr="00290209" w:rsidRDefault="00F118B9" w:rsidP="00F118B9">
      <w:pPr>
        <w:numPr>
          <w:ilvl w:val="0"/>
          <w:numId w:val="1"/>
        </w:numPr>
        <w:spacing w:before="100" w:beforeAutospacing="1" w:after="100" w:afterAutospacing="1"/>
        <w:rPr>
          <w:rFonts w:ascii="Arial" w:eastAsia="Times New Roman" w:hAnsi="Arial" w:cs="Arial"/>
          <w:sz w:val="24"/>
          <w:szCs w:val="24"/>
          <w:lang w:eastAsia="de-AT"/>
        </w:rPr>
      </w:pPr>
      <w:r w:rsidRPr="00290209">
        <w:rPr>
          <w:rFonts w:ascii="Arial" w:eastAsia="Times New Roman" w:hAnsi="Arial" w:cs="Arial"/>
          <w:sz w:val="24"/>
          <w:szCs w:val="24"/>
          <w:lang w:eastAsia="de-AT"/>
        </w:rPr>
        <w:t>bis 400.000 € sind es 2 % und</w:t>
      </w:r>
    </w:p>
    <w:p w:rsidR="00F118B9" w:rsidRPr="00290209" w:rsidRDefault="00F118B9" w:rsidP="00F118B9">
      <w:pPr>
        <w:numPr>
          <w:ilvl w:val="0"/>
          <w:numId w:val="1"/>
        </w:numPr>
        <w:spacing w:before="100" w:beforeAutospacing="1" w:after="100" w:afterAutospacing="1"/>
        <w:rPr>
          <w:rFonts w:ascii="Arial" w:eastAsia="Times New Roman" w:hAnsi="Arial" w:cs="Arial"/>
          <w:sz w:val="24"/>
          <w:szCs w:val="24"/>
          <w:lang w:eastAsia="de-AT"/>
        </w:rPr>
      </w:pPr>
      <w:r w:rsidRPr="00290209">
        <w:rPr>
          <w:rFonts w:ascii="Arial" w:eastAsia="Times New Roman" w:hAnsi="Arial" w:cs="Arial"/>
          <w:sz w:val="24"/>
          <w:szCs w:val="24"/>
          <w:lang w:eastAsia="de-AT"/>
        </w:rPr>
        <w:t>über 400.000 € 3,5 % (wie bei jedem Übertrag außerhalb der Familie ).</w:t>
      </w:r>
    </w:p>
    <w:p w:rsidR="00F118B9" w:rsidRDefault="00290209" w:rsidP="00290209">
      <w:pPr>
        <w:spacing w:before="100" w:beforeAutospacing="1" w:after="100" w:afterAutospacing="1"/>
        <w:jc w:val="both"/>
        <w:rPr>
          <w:rFonts w:ascii="Arial" w:eastAsia="Times New Roman" w:hAnsi="Arial" w:cs="Arial"/>
          <w:sz w:val="24"/>
          <w:szCs w:val="24"/>
          <w:lang w:eastAsia="de-AT"/>
        </w:rPr>
      </w:pPr>
      <w:r>
        <w:rPr>
          <w:rFonts w:ascii="Arial" w:eastAsia="Times New Roman" w:hAnsi="Arial" w:cs="Arial"/>
          <w:sz w:val="24"/>
          <w:szCs w:val="24"/>
          <w:lang w:eastAsia="de-AT"/>
        </w:rPr>
        <w:t>Für betriebliche</w:t>
      </w:r>
      <w:r w:rsidR="00F118B9" w:rsidRPr="00290209">
        <w:rPr>
          <w:rFonts w:ascii="Arial" w:eastAsia="Times New Roman" w:hAnsi="Arial" w:cs="Arial"/>
          <w:sz w:val="24"/>
          <w:szCs w:val="24"/>
          <w:lang w:eastAsia="de-AT"/>
        </w:rPr>
        <w:t xml:space="preserve"> Immobilien (Einzelunternehmen) gilt künftig ein Freibetrag </w:t>
      </w:r>
      <w:r>
        <w:rPr>
          <w:rFonts w:ascii="Arial" w:eastAsia="Times New Roman" w:hAnsi="Arial" w:cs="Arial"/>
          <w:sz w:val="24"/>
          <w:szCs w:val="24"/>
          <w:lang w:eastAsia="de-AT"/>
        </w:rPr>
        <w:t xml:space="preserve">in Höhe von Euro 900.000 wobei </w:t>
      </w:r>
      <w:r w:rsidR="00F118B9" w:rsidRPr="00290209">
        <w:rPr>
          <w:rFonts w:ascii="Arial" w:eastAsia="Times New Roman" w:hAnsi="Arial" w:cs="Arial"/>
          <w:sz w:val="24"/>
          <w:szCs w:val="24"/>
          <w:lang w:eastAsia="de-AT"/>
        </w:rPr>
        <w:t>für darüber liegende Vermögensteile 3,5 % Grunderwerbsteuer verrechnet werden.</w:t>
      </w:r>
    </w:p>
    <w:p w:rsidR="00290209" w:rsidRDefault="00290209" w:rsidP="00290209">
      <w:pPr>
        <w:pBdr>
          <w:bottom w:val="single" w:sz="12" w:space="1" w:color="auto"/>
        </w:pBdr>
        <w:spacing w:before="100" w:beforeAutospacing="1" w:after="100" w:afterAutospacing="1"/>
        <w:jc w:val="both"/>
        <w:rPr>
          <w:rFonts w:ascii="Arial" w:eastAsia="Times New Roman" w:hAnsi="Arial" w:cs="Arial"/>
          <w:sz w:val="24"/>
          <w:szCs w:val="24"/>
          <w:lang w:eastAsia="de-AT"/>
        </w:rPr>
      </w:pPr>
    </w:p>
    <w:p w:rsidR="00290209" w:rsidRDefault="00290209" w:rsidP="00290209">
      <w:pPr>
        <w:spacing w:before="100" w:beforeAutospacing="1" w:after="100" w:afterAutospacing="1"/>
        <w:jc w:val="both"/>
        <w:rPr>
          <w:rFonts w:ascii="Arial" w:eastAsia="Times New Roman" w:hAnsi="Arial" w:cs="Arial"/>
          <w:sz w:val="24"/>
          <w:szCs w:val="24"/>
          <w:lang w:eastAsia="de-AT"/>
        </w:rPr>
      </w:pPr>
    </w:p>
    <w:p w:rsidR="009A42E2" w:rsidRDefault="009A42E2" w:rsidP="00290209">
      <w:pPr>
        <w:spacing w:before="100" w:beforeAutospacing="1" w:after="100" w:afterAutospacing="1"/>
        <w:jc w:val="both"/>
        <w:rPr>
          <w:rFonts w:ascii="Arial" w:eastAsia="Times New Roman" w:hAnsi="Arial" w:cs="Arial"/>
          <w:sz w:val="24"/>
          <w:szCs w:val="24"/>
          <w:lang w:eastAsia="de-AT"/>
        </w:rPr>
      </w:pPr>
    </w:p>
    <w:p w:rsidR="009A42E2" w:rsidRDefault="009A42E2" w:rsidP="00290209">
      <w:pPr>
        <w:spacing w:before="100" w:beforeAutospacing="1" w:after="100" w:afterAutospacing="1"/>
        <w:jc w:val="both"/>
        <w:rPr>
          <w:rFonts w:ascii="Arial" w:eastAsia="Times New Roman" w:hAnsi="Arial" w:cs="Arial"/>
          <w:sz w:val="24"/>
          <w:szCs w:val="24"/>
          <w:lang w:eastAsia="de-AT"/>
        </w:rPr>
      </w:pPr>
    </w:p>
    <w:p w:rsidR="00256E44" w:rsidRPr="00760643" w:rsidRDefault="00D016BB" w:rsidP="00760643">
      <w:pPr>
        <w:spacing w:before="100" w:beforeAutospacing="1" w:after="100" w:afterAutospacing="1"/>
        <w:outlineLvl w:val="1"/>
        <w:rPr>
          <w:rFonts w:ascii="Arial" w:eastAsia="Times New Roman" w:hAnsi="Arial" w:cs="Arial"/>
          <w:b/>
          <w:bCs/>
          <w:color w:val="F79646" w:themeColor="accent6"/>
          <w:sz w:val="36"/>
          <w:szCs w:val="36"/>
          <w:lang w:eastAsia="de-AT"/>
        </w:rPr>
      </w:pPr>
      <w:r w:rsidRPr="00D016BB">
        <w:rPr>
          <w:rFonts w:ascii="Arial" w:eastAsia="Times New Roman" w:hAnsi="Arial" w:cs="Arial"/>
          <w:b/>
          <w:bCs/>
          <w:color w:val="F79646" w:themeColor="accent6"/>
          <w:sz w:val="36"/>
          <w:szCs w:val="36"/>
          <w:lang w:eastAsia="de-AT"/>
        </w:rPr>
        <w:t>Neuerungen im Energieausweis-Vorlage-Gesetz ab 1.12.2012</w:t>
      </w:r>
    </w:p>
    <w:p w:rsidR="00D016BB" w:rsidRPr="00D016BB" w:rsidRDefault="00D016BB" w:rsidP="00D016BB">
      <w:pPr>
        <w:spacing w:before="100" w:beforeAutospacing="1" w:after="100" w:afterAutospacing="1"/>
        <w:jc w:val="both"/>
        <w:outlineLvl w:val="1"/>
        <w:rPr>
          <w:rFonts w:ascii="Arial" w:eastAsia="Times New Roman" w:hAnsi="Arial" w:cs="Arial"/>
          <w:b/>
          <w:bCs/>
          <w:sz w:val="24"/>
          <w:szCs w:val="24"/>
          <w:lang w:eastAsia="de-AT"/>
        </w:rPr>
      </w:pPr>
      <w:r w:rsidRPr="00D016BB">
        <w:rPr>
          <w:rFonts w:ascii="Arial" w:eastAsia="Times New Roman" w:hAnsi="Arial" w:cs="Arial"/>
          <w:b/>
          <w:bCs/>
          <w:sz w:val="24"/>
          <w:szCs w:val="24"/>
          <w:lang w:eastAsia="de-AT"/>
        </w:rPr>
        <w:t>Mehr Pflichten für Verkäufer und Vermieter ab 1.12.2012</w:t>
      </w:r>
    </w:p>
    <w:p w:rsidR="00D016BB" w:rsidRPr="00D016BB" w:rsidRDefault="00D016BB" w:rsidP="00D016BB">
      <w:pPr>
        <w:spacing w:before="100" w:beforeAutospacing="1" w:after="100" w:afterAutospacing="1"/>
        <w:rPr>
          <w:rFonts w:ascii="Arial" w:eastAsia="Times New Roman" w:hAnsi="Arial" w:cs="Arial"/>
          <w:sz w:val="24"/>
          <w:szCs w:val="24"/>
          <w:lang w:eastAsia="de-AT"/>
        </w:rPr>
      </w:pPr>
      <w:hyperlink r:id="rId11" w:tgtFrame="_blank" w:history="1">
        <w:r w:rsidRPr="00D016BB">
          <w:rPr>
            <w:rFonts w:ascii="Arial" w:eastAsia="Times New Roman" w:hAnsi="Arial" w:cs="Arial"/>
            <w:color w:val="0000FF"/>
            <w:sz w:val="24"/>
            <w:szCs w:val="24"/>
            <w:u w:val="single"/>
            <w:lang w:eastAsia="de-AT"/>
          </w:rPr>
          <w:t>Infofolder über die Neuerungen des Energieausweis-Vorlage-Gesetzes</w:t>
        </w:r>
      </w:hyperlink>
    </w:p>
    <w:p w:rsidR="009A42E2" w:rsidRPr="00256E44" w:rsidRDefault="00256E44" w:rsidP="00290209">
      <w:pPr>
        <w:spacing w:before="100" w:beforeAutospacing="1" w:after="100" w:afterAutospacing="1"/>
        <w:jc w:val="both"/>
        <w:rPr>
          <w:rFonts w:ascii="Arial" w:eastAsia="Times New Roman" w:hAnsi="Arial" w:cs="Arial"/>
          <w:sz w:val="24"/>
          <w:szCs w:val="24"/>
          <w:lang w:eastAsia="de-AT"/>
        </w:rPr>
      </w:pPr>
      <w:r w:rsidRPr="00256E44">
        <w:rPr>
          <w:rFonts w:ascii="Arial" w:eastAsia="Times New Roman" w:hAnsi="Arial" w:cs="Arial"/>
          <w:sz w:val="24"/>
          <w:szCs w:val="24"/>
          <w:lang w:eastAsia="de-AT"/>
        </w:rPr>
        <w:t>_________________________________________</w:t>
      </w:r>
      <w:r>
        <w:rPr>
          <w:rFonts w:ascii="Arial" w:eastAsia="Times New Roman" w:hAnsi="Arial" w:cs="Arial"/>
          <w:sz w:val="24"/>
          <w:szCs w:val="24"/>
          <w:lang w:eastAsia="de-AT"/>
        </w:rPr>
        <w:t>_______________________________</w:t>
      </w:r>
    </w:p>
    <w:p w:rsidR="00E77388" w:rsidRPr="00E77388" w:rsidRDefault="00E77388" w:rsidP="00E77388">
      <w:pPr>
        <w:spacing w:before="100" w:beforeAutospacing="1" w:after="100" w:afterAutospacing="1"/>
        <w:outlineLvl w:val="0"/>
        <w:rPr>
          <w:rFonts w:ascii="Arial" w:eastAsia="Times New Roman" w:hAnsi="Arial" w:cs="Arial"/>
          <w:b/>
          <w:bCs/>
          <w:kern w:val="36"/>
          <w:sz w:val="48"/>
          <w:szCs w:val="48"/>
          <w:lang w:eastAsia="de-AT"/>
        </w:rPr>
      </w:pPr>
      <w:r w:rsidRPr="00E77388">
        <w:rPr>
          <w:rFonts w:ascii="Arial" w:eastAsia="Times New Roman" w:hAnsi="Arial" w:cs="Arial"/>
          <w:b/>
          <w:bCs/>
          <w:kern w:val="36"/>
          <w:sz w:val="48"/>
          <w:szCs w:val="48"/>
          <w:lang w:eastAsia="de-AT"/>
        </w:rPr>
        <w:t>Energieausweis ist Pflicht</w:t>
      </w:r>
    </w:p>
    <w:p w:rsidR="00E77388" w:rsidRPr="00E77388" w:rsidRDefault="00E77388" w:rsidP="00E77388">
      <w:pPr>
        <w:rPr>
          <w:rFonts w:ascii="Times New Roman" w:eastAsia="Times New Roman" w:hAnsi="Times New Roman" w:cs="Times New Roman"/>
          <w:sz w:val="24"/>
          <w:szCs w:val="24"/>
          <w:lang w:eastAsia="de-AT"/>
        </w:rPr>
      </w:pPr>
      <w:r w:rsidRPr="00E77388">
        <w:rPr>
          <w:rFonts w:ascii="Times New Roman" w:eastAsia="Times New Roman" w:hAnsi="Times New Roman" w:cs="Times New Roman"/>
          <w:noProof/>
          <w:sz w:val="24"/>
          <w:szCs w:val="24"/>
          <w:lang w:eastAsia="de-AT"/>
        </w:rPr>
        <w:drawing>
          <wp:inline distT="0" distB="0" distL="0" distR="0" wp14:anchorId="70F57A1A" wp14:editId="145A2362">
            <wp:extent cx="5905500" cy="3238500"/>
            <wp:effectExtent l="0" t="0" r="0" b="0"/>
            <wp:docPr id="3" name="Bild 1" descr="https://images04.wohnnet.at/energieausweis2.jpg/wohnnet_slider_image/1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04.wohnnet.at/energieausweis2.jpg/wohnnet_slider_image/17.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238500"/>
                    </a:xfrm>
                    <a:prstGeom prst="rect">
                      <a:avLst/>
                    </a:prstGeom>
                    <a:noFill/>
                    <a:ln>
                      <a:noFill/>
                    </a:ln>
                  </pic:spPr>
                </pic:pic>
              </a:graphicData>
            </a:graphic>
          </wp:inline>
        </w:drawing>
      </w:r>
    </w:p>
    <w:p w:rsidR="00E77388" w:rsidRPr="00E77388" w:rsidRDefault="00E77388" w:rsidP="00E77388">
      <w:pPr>
        <w:spacing w:before="100" w:beforeAutospacing="1" w:after="100" w:afterAutospacing="1"/>
        <w:outlineLvl w:val="1"/>
        <w:rPr>
          <w:rFonts w:ascii="Arial" w:eastAsia="Times New Roman" w:hAnsi="Arial" w:cs="Arial"/>
          <w:b/>
          <w:bCs/>
          <w:sz w:val="36"/>
          <w:szCs w:val="36"/>
          <w:lang w:eastAsia="de-AT"/>
        </w:rPr>
      </w:pPr>
      <w:r w:rsidRPr="00E77388">
        <w:rPr>
          <w:rFonts w:ascii="Arial" w:eastAsia="Times New Roman" w:hAnsi="Arial" w:cs="Arial"/>
          <w:b/>
          <w:bCs/>
          <w:sz w:val="36"/>
          <w:szCs w:val="36"/>
          <w:lang w:eastAsia="de-AT"/>
        </w:rPr>
        <w:t xml:space="preserve">Künftig müssen zum Verkauf gelangende Immobilien mit der Energieklasse ausgezeichnet sein. </w:t>
      </w:r>
    </w:p>
    <w:p w:rsidR="00E77388" w:rsidRPr="00E77388" w:rsidRDefault="00E77388" w:rsidP="00760643">
      <w:pPr>
        <w:spacing w:before="100" w:beforeAutospacing="1" w:after="100" w:afterAutospacing="1"/>
        <w:jc w:val="both"/>
        <w:rPr>
          <w:rFonts w:ascii="Times New Roman" w:eastAsia="Times New Roman" w:hAnsi="Times New Roman" w:cs="Times New Roman"/>
          <w:sz w:val="24"/>
          <w:szCs w:val="24"/>
          <w:lang w:eastAsia="de-AT"/>
        </w:rPr>
      </w:pPr>
      <w:r w:rsidRPr="00E77388">
        <w:rPr>
          <w:rFonts w:ascii="Arial" w:eastAsia="Times New Roman" w:hAnsi="Arial" w:cs="Arial"/>
          <w:sz w:val="24"/>
          <w:szCs w:val="24"/>
          <w:lang w:eastAsia="de-AT"/>
        </w:rPr>
        <w:t>Der Energieausweis, den es seit einigen Jahren in Österreich an und für sich verpflichtend gibt, war - was seine Verbindlichkeit betrifft - bislang eine eher zahnlose Angelegenheit. Eine Gesetzesvorlage soll dies jetzt ändern</w:t>
      </w:r>
      <w:r w:rsidRPr="00E77388">
        <w:rPr>
          <w:rFonts w:ascii="Times New Roman" w:eastAsia="Times New Roman" w:hAnsi="Times New Roman" w:cs="Times New Roman"/>
          <w:sz w:val="24"/>
          <w:szCs w:val="24"/>
          <w:lang w:eastAsia="de-AT"/>
        </w:rPr>
        <w:t>.</w:t>
      </w:r>
    </w:p>
    <w:p w:rsidR="00E77388" w:rsidRPr="00E77388" w:rsidRDefault="00E77388" w:rsidP="00E77388">
      <w:p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b/>
          <w:bCs/>
          <w:sz w:val="24"/>
          <w:szCs w:val="24"/>
          <w:lang w:eastAsia="de-AT"/>
        </w:rPr>
        <w:t>EU sorgt für Tempo</w:t>
      </w:r>
    </w:p>
    <w:p w:rsidR="00E77388" w:rsidRPr="00E77388" w:rsidRDefault="00E77388" w:rsidP="00E77388">
      <w:p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Vorgaben der Europäischen Union in Sachen Energiebilanz von Gebäuden sorgen dafür, dass Bewegung ins Spiel </w:t>
      </w:r>
      <w:proofErr w:type="spellStart"/>
      <w:r w:rsidRPr="00E77388">
        <w:rPr>
          <w:rFonts w:ascii="Arial" w:eastAsia="Times New Roman" w:hAnsi="Arial" w:cs="Arial"/>
          <w:sz w:val="24"/>
          <w:szCs w:val="24"/>
          <w:lang w:eastAsia="de-AT"/>
        </w:rPr>
        <w:t>kommt.Wer</w:t>
      </w:r>
      <w:proofErr w:type="spellEnd"/>
      <w:r w:rsidRPr="00E77388">
        <w:rPr>
          <w:rFonts w:ascii="Arial" w:eastAsia="Times New Roman" w:hAnsi="Arial" w:cs="Arial"/>
          <w:sz w:val="24"/>
          <w:szCs w:val="24"/>
          <w:lang w:eastAsia="de-AT"/>
        </w:rPr>
        <w:t xml:space="preserve"> künftig seine Wohnung oder Haus via Zeitungs- oder Internetinserat verkaufen oder vermieten will, muss darin die Energiekennzahlen, also Heizwärmebedarf und Gesamtenergieeffizienz-Faktor des Gebäudes oder Nutzungsobjekts bekanntgeben. Wer dies versäumt, muss mit </w:t>
      </w:r>
      <w:r w:rsidRPr="00E77388">
        <w:rPr>
          <w:rFonts w:ascii="Arial" w:eastAsia="Times New Roman" w:hAnsi="Arial" w:cs="Arial"/>
          <w:b/>
          <w:bCs/>
          <w:sz w:val="24"/>
          <w:szCs w:val="24"/>
          <w:lang w:eastAsia="de-AT"/>
        </w:rPr>
        <w:t>Verwaltungsstrafen von bis zu 1.450 Euro</w:t>
      </w:r>
      <w:r w:rsidRPr="00E77388">
        <w:rPr>
          <w:rFonts w:ascii="Arial" w:eastAsia="Times New Roman" w:hAnsi="Arial" w:cs="Arial"/>
          <w:sz w:val="24"/>
          <w:szCs w:val="24"/>
          <w:lang w:eastAsia="de-AT"/>
        </w:rPr>
        <w:t xml:space="preserve"> rechnen. Diese Pflicht gilt sowohl für Verkäufer als auch für Immobilienmakler.</w:t>
      </w:r>
    </w:p>
    <w:p w:rsidR="00760643" w:rsidRDefault="00760643" w:rsidP="00E77388">
      <w:pPr>
        <w:spacing w:before="100" w:beforeAutospacing="1" w:after="100" w:afterAutospacing="1"/>
        <w:rPr>
          <w:rFonts w:ascii="Arial" w:eastAsia="Times New Roman" w:hAnsi="Arial" w:cs="Arial"/>
          <w:sz w:val="24"/>
          <w:szCs w:val="24"/>
          <w:lang w:eastAsia="de-AT"/>
        </w:rPr>
      </w:pPr>
      <w:r>
        <w:rPr>
          <w:rFonts w:ascii="Arial" w:eastAsia="Times New Roman" w:hAnsi="Arial" w:cs="Arial"/>
          <w:sz w:val="24"/>
          <w:szCs w:val="24"/>
          <w:lang w:eastAsia="de-AT"/>
        </w:rPr>
        <w:lastRenderedPageBreak/>
        <w:br/>
      </w:r>
    </w:p>
    <w:p w:rsidR="00E77388" w:rsidRPr="00E77388" w:rsidRDefault="00760643" w:rsidP="00E77388">
      <w:pPr>
        <w:spacing w:before="100" w:beforeAutospacing="1" w:after="100" w:afterAutospacing="1"/>
        <w:rPr>
          <w:rFonts w:ascii="Arial" w:eastAsia="Times New Roman" w:hAnsi="Arial" w:cs="Arial"/>
          <w:sz w:val="24"/>
          <w:szCs w:val="24"/>
          <w:lang w:eastAsia="de-AT"/>
        </w:rPr>
      </w:pPr>
      <w:r>
        <w:rPr>
          <w:rFonts w:ascii="Arial" w:eastAsia="Times New Roman" w:hAnsi="Arial" w:cs="Arial"/>
          <w:sz w:val="24"/>
          <w:szCs w:val="24"/>
          <w:lang w:eastAsia="de-AT"/>
        </w:rPr>
        <w:t>Des</w:t>
      </w:r>
      <w:r w:rsidR="00E77388" w:rsidRPr="00E77388">
        <w:rPr>
          <w:rFonts w:ascii="Arial" w:eastAsia="Times New Roman" w:hAnsi="Arial" w:cs="Arial"/>
          <w:sz w:val="24"/>
          <w:szCs w:val="24"/>
          <w:lang w:eastAsia="de-AT"/>
        </w:rPr>
        <w:t xml:space="preserve">weiteren muss dem Kauf- oder Miet-Interessierten spätestens bei </w:t>
      </w:r>
      <w:proofErr w:type="spellStart"/>
      <w:r w:rsidR="00E77388" w:rsidRPr="00E77388">
        <w:rPr>
          <w:rFonts w:ascii="Arial" w:eastAsia="Times New Roman" w:hAnsi="Arial" w:cs="Arial"/>
          <w:sz w:val="24"/>
          <w:szCs w:val="24"/>
          <w:lang w:eastAsia="de-AT"/>
        </w:rPr>
        <w:t>Anbotslegung</w:t>
      </w:r>
      <w:proofErr w:type="spellEnd"/>
      <w:r w:rsidR="00E77388" w:rsidRPr="00E77388">
        <w:rPr>
          <w:rFonts w:ascii="Arial" w:eastAsia="Times New Roman" w:hAnsi="Arial" w:cs="Arial"/>
          <w:sz w:val="24"/>
          <w:szCs w:val="24"/>
          <w:lang w:eastAsia="de-AT"/>
        </w:rPr>
        <w:t xml:space="preserve"> der Energieausweis gezeigt werden. Kommt es zu einem Vertragsabschluss, muss eine Kopie des Energieausweises innerhalb von 14 Tagen ausgehändigt werden.</w:t>
      </w:r>
    </w:p>
    <w:p w:rsidR="00E77388" w:rsidRPr="00E77388" w:rsidRDefault="00E77388" w:rsidP="00E77388">
      <w:p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br/>
      </w:r>
      <w:r w:rsidRPr="00E77388">
        <w:rPr>
          <w:rFonts w:ascii="Arial" w:eastAsia="Times New Roman" w:hAnsi="Arial" w:cs="Arial"/>
          <w:b/>
          <w:bCs/>
          <w:sz w:val="24"/>
          <w:szCs w:val="24"/>
          <w:lang w:eastAsia="de-AT"/>
        </w:rPr>
        <w:t>Die wichtigsten Neuerungen</w:t>
      </w:r>
    </w:p>
    <w:p w:rsidR="00E77388" w:rsidRPr="00E77388" w:rsidRDefault="00E77388" w:rsidP="00760643">
      <w:p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Die neuen Bestimmungen traten mit 1. Dezember 2012 in Kraft. (Quelle: </w:t>
      </w:r>
      <w:hyperlink r:id="rId13" w:tgtFrame="_blank" w:history="1">
        <w:r w:rsidRPr="00E77388">
          <w:rPr>
            <w:rFonts w:ascii="Arial" w:eastAsia="Times New Roman" w:hAnsi="Arial" w:cs="Arial"/>
            <w:color w:val="0000FF"/>
            <w:sz w:val="24"/>
            <w:szCs w:val="24"/>
            <w:u w:val="single"/>
            <w:lang w:eastAsia="de-AT"/>
          </w:rPr>
          <w:t>ÖVI</w:t>
        </w:r>
      </w:hyperlink>
      <w:r w:rsidRPr="00E77388">
        <w:rPr>
          <w:rFonts w:ascii="Arial" w:eastAsia="Times New Roman" w:hAnsi="Arial" w:cs="Arial"/>
          <w:sz w:val="24"/>
          <w:szCs w:val="24"/>
          <w:lang w:eastAsia="de-AT"/>
        </w:rPr>
        <w:t>)</w:t>
      </w:r>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Verpflichtende Angabe des Heizwärmebedarfs und des Gesamtenergieeffizienz-Faktors in Anzeigen und Inseraten</w:t>
      </w:r>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Verpflichtung zu Vorlage des Energieausweises bei </w:t>
      </w:r>
      <w:proofErr w:type="spellStart"/>
      <w:r w:rsidRPr="00E77388">
        <w:rPr>
          <w:rFonts w:ascii="Arial" w:eastAsia="Times New Roman" w:hAnsi="Arial" w:cs="Arial"/>
          <w:sz w:val="24"/>
          <w:szCs w:val="24"/>
          <w:lang w:eastAsia="de-AT"/>
        </w:rPr>
        <w:t>Anbotslegung</w:t>
      </w:r>
      <w:proofErr w:type="spellEnd"/>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Aushändigung einer vollständigen Kopie des Energieausweises binnen 14 Tagen nach Vertragsabschluss</w:t>
      </w:r>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Der Mieter oder der Käufer kann die unterlassene Aushändigung des Energieausweises gerichtlich einklagen oder selbst einen Energieausweis einholen und innerhalb von drei Jahren "angemessenen" Kostenersatz begehren </w:t>
      </w:r>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Der Energieausweisaussteller haftet Käufern und Mietern gegenüber für die Richtigkeit des Energieausweises</w:t>
      </w:r>
    </w:p>
    <w:p w:rsidR="00E77388" w:rsidRPr="00E77388" w:rsidRDefault="00E77388" w:rsidP="00E77388">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Bei Unterlassen von Angaben zur Energieeffizienz in Inseraten oder bei nicht rechtzeitiger Vorlage bzw. Aushändigung drohen Verwaltungsstrafen bis zu 1.450 Euro</w:t>
      </w:r>
    </w:p>
    <w:p w:rsidR="00E77388" w:rsidRPr="00E77388" w:rsidRDefault="00E77388" w:rsidP="00760643">
      <w:pPr>
        <w:numPr>
          <w:ilvl w:val="0"/>
          <w:numId w:val="3"/>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Der Makler ist entschuldigt, wenn der Auftraggeber auf seine Pflicht hingewiesen wurde und der Aufforderung nicht nachkommt</w:t>
      </w:r>
    </w:p>
    <w:p w:rsidR="00E77388" w:rsidRPr="00E77388" w:rsidRDefault="00E77388" w:rsidP="00760643">
      <w:pPr>
        <w:spacing w:before="100" w:beforeAutospacing="1" w:after="100" w:afterAutospacing="1"/>
        <w:rPr>
          <w:rFonts w:ascii="Arial" w:eastAsia="Times New Roman" w:hAnsi="Arial" w:cs="Arial"/>
          <w:b/>
          <w:sz w:val="24"/>
          <w:szCs w:val="24"/>
          <w:lang w:eastAsia="de-AT"/>
        </w:rPr>
      </w:pPr>
      <w:r w:rsidRPr="00E77388">
        <w:rPr>
          <w:rFonts w:ascii="Arial" w:eastAsia="Times New Roman" w:hAnsi="Arial" w:cs="Arial"/>
          <w:b/>
          <w:sz w:val="24"/>
          <w:szCs w:val="24"/>
          <w:lang w:eastAsia="de-AT"/>
        </w:rPr>
        <w:t>Von der Vorlagepflicht sollen künftig ausgenommen sein:</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Gebäude, die nur frostfrei gehalten werden</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Bei Abbruchobjekten, wenn im Kaufvertrag davon ausgegangen wird, dass der Käufer innerhalb von drei Jahren nach Vertragsabschluss das Gebäude abbricht </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Gebäude, die überwiegend für Gottesdienste und religiöse Zwecke genutzt werden</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Provisorisch errichtete Gebäude, deren Nutzungsdauer höchstens auf zwei Jahre ausgelegt ist </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Industrieanlagen, Werkstätten, landwirtschaftliche Nutzgebäude </w:t>
      </w:r>
    </w:p>
    <w:p w:rsidR="00E77388" w:rsidRPr="00E77388" w:rsidRDefault="00E77388" w:rsidP="00E77388">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Wenn "Beheizung" überwiegend durch im Gebäude entstehende Abwärme erfolgt </w:t>
      </w:r>
    </w:p>
    <w:p w:rsidR="00E77388" w:rsidRDefault="00E77388" w:rsidP="00760643">
      <w:pPr>
        <w:numPr>
          <w:ilvl w:val="0"/>
          <w:numId w:val="4"/>
        </w:numPr>
        <w:spacing w:before="100" w:beforeAutospacing="1" w:after="100" w:afterAutospacing="1"/>
        <w:rPr>
          <w:rFonts w:ascii="Arial" w:eastAsia="Times New Roman" w:hAnsi="Arial" w:cs="Arial"/>
          <w:sz w:val="24"/>
          <w:szCs w:val="24"/>
          <w:lang w:eastAsia="de-AT"/>
        </w:rPr>
      </w:pPr>
      <w:r w:rsidRPr="00E77388">
        <w:rPr>
          <w:rFonts w:ascii="Arial" w:eastAsia="Times New Roman" w:hAnsi="Arial" w:cs="Arial"/>
          <w:sz w:val="24"/>
          <w:szCs w:val="24"/>
          <w:lang w:eastAsia="de-AT"/>
        </w:rPr>
        <w:t xml:space="preserve">"Ferienwohnungen", wenn der voraussichtliche Energiebedarf unter einem Viertel im Vergleich zur ganzjährigen Benützung </w:t>
      </w:r>
      <w:proofErr w:type="spellStart"/>
      <w:r w:rsidRPr="00E77388">
        <w:rPr>
          <w:rFonts w:ascii="Arial" w:eastAsia="Times New Roman" w:hAnsi="Arial" w:cs="Arial"/>
          <w:sz w:val="24"/>
          <w:szCs w:val="24"/>
          <w:lang w:eastAsia="de-AT"/>
        </w:rPr>
        <w:t>liegtFrei</w:t>
      </w:r>
      <w:proofErr w:type="spellEnd"/>
      <w:r w:rsidRPr="00E77388">
        <w:rPr>
          <w:rFonts w:ascii="Arial" w:eastAsia="Times New Roman" w:hAnsi="Arial" w:cs="Arial"/>
          <w:sz w:val="24"/>
          <w:szCs w:val="24"/>
          <w:lang w:eastAsia="de-AT"/>
        </w:rPr>
        <w:t xml:space="preserve"> stehende Gebäude, deren Gesamtnutzfläche kleiner als 50 m² ist</w:t>
      </w:r>
      <w:r w:rsidR="00760643">
        <w:rPr>
          <w:rFonts w:ascii="Arial" w:eastAsia="Times New Roman" w:hAnsi="Arial" w:cs="Arial"/>
          <w:sz w:val="24"/>
          <w:szCs w:val="24"/>
          <w:lang w:eastAsia="de-AT"/>
        </w:rPr>
        <w:t>.</w:t>
      </w:r>
    </w:p>
    <w:p w:rsidR="00760643" w:rsidRDefault="00760643" w:rsidP="00760643">
      <w:pPr>
        <w:spacing w:before="100" w:beforeAutospacing="1" w:after="100" w:afterAutospacing="1"/>
        <w:rPr>
          <w:rFonts w:ascii="Arial" w:eastAsia="Times New Roman" w:hAnsi="Arial" w:cs="Arial"/>
          <w:sz w:val="24"/>
          <w:szCs w:val="24"/>
          <w:lang w:eastAsia="de-AT"/>
        </w:rPr>
      </w:pPr>
    </w:p>
    <w:p w:rsidR="00760643" w:rsidRPr="00E77388" w:rsidRDefault="00760643" w:rsidP="00760643">
      <w:pPr>
        <w:spacing w:before="100" w:beforeAutospacing="1" w:after="100" w:afterAutospacing="1"/>
        <w:rPr>
          <w:rFonts w:ascii="Arial" w:eastAsia="Times New Roman" w:hAnsi="Arial" w:cs="Arial"/>
          <w:sz w:val="24"/>
          <w:szCs w:val="24"/>
          <w:lang w:eastAsia="de-AT"/>
        </w:rPr>
      </w:pPr>
      <w:r>
        <w:rPr>
          <w:rFonts w:ascii="Arial" w:eastAsia="Times New Roman" w:hAnsi="Arial" w:cs="Arial"/>
          <w:sz w:val="24"/>
          <w:szCs w:val="24"/>
          <w:lang w:eastAsia="de-AT"/>
        </w:rPr>
        <w:t>________________________________________________________________________</w:t>
      </w:r>
      <w:bookmarkStart w:id="0" w:name="_GoBack"/>
      <w:bookmarkEnd w:id="0"/>
    </w:p>
    <w:p w:rsidR="009A42E2" w:rsidRPr="00760643" w:rsidRDefault="009A42E2" w:rsidP="00D016BB">
      <w:pPr>
        <w:spacing w:before="100" w:beforeAutospacing="1" w:after="100" w:afterAutospacing="1"/>
        <w:ind w:left="142" w:hanging="142"/>
        <w:jc w:val="both"/>
        <w:rPr>
          <w:rFonts w:ascii="Arial" w:eastAsia="Times New Roman" w:hAnsi="Arial" w:cs="Arial"/>
          <w:sz w:val="24"/>
          <w:szCs w:val="24"/>
          <w:lang w:eastAsia="de-AT"/>
        </w:rPr>
      </w:pPr>
    </w:p>
    <w:p w:rsidR="009A42E2" w:rsidRPr="00760643" w:rsidRDefault="009A42E2" w:rsidP="00290209">
      <w:pPr>
        <w:spacing w:before="100" w:beforeAutospacing="1" w:after="100" w:afterAutospacing="1"/>
        <w:jc w:val="both"/>
        <w:rPr>
          <w:rFonts w:ascii="Arial" w:eastAsia="Times New Roman" w:hAnsi="Arial" w:cs="Arial"/>
          <w:sz w:val="24"/>
          <w:szCs w:val="24"/>
          <w:lang w:eastAsia="de-AT"/>
        </w:rPr>
      </w:pPr>
    </w:p>
    <w:p w:rsidR="009A42E2" w:rsidRPr="00760643" w:rsidRDefault="009A42E2" w:rsidP="00290209">
      <w:pPr>
        <w:spacing w:before="100" w:beforeAutospacing="1" w:after="100" w:afterAutospacing="1"/>
        <w:jc w:val="both"/>
        <w:rPr>
          <w:rFonts w:ascii="Arial" w:eastAsia="Times New Roman" w:hAnsi="Arial" w:cs="Arial"/>
          <w:sz w:val="24"/>
          <w:szCs w:val="24"/>
          <w:lang w:eastAsia="de-AT"/>
        </w:rPr>
      </w:pPr>
    </w:p>
    <w:p w:rsidR="009A42E2" w:rsidRPr="00760643" w:rsidRDefault="009A42E2" w:rsidP="00290209">
      <w:pPr>
        <w:spacing w:before="100" w:beforeAutospacing="1" w:after="100" w:afterAutospacing="1"/>
        <w:jc w:val="both"/>
        <w:rPr>
          <w:rFonts w:ascii="Arial" w:eastAsia="Times New Roman" w:hAnsi="Arial" w:cs="Arial"/>
          <w:sz w:val="24"/>
          <w:szCs w:val="24"/>
          <w:lang w:eastAsia="de-AT"/>
        </w:rPr>
      </w:pPr>
    </w:p>
    <w:p w:rsidR="009A42E2" w:rsidRPr="00760643" w:rsidRDefault="009A42E2" w:rsidP="00290209">
      <w:pPr>
        <w:spacing w:before="100" w:beforeAutospacing="1" w:after="100" w:afterAutospacing="1"/>
        <w:jc w:val="both"/>
        <w:rPr>
          <w:rFonts w:ascii="Arial" w:eastAsia="Times New Roman" w:hAnsi="Arial" w:cs="Arial"/>
          <w:sz w:val="24"/>
          <w:szCs w:val="24"/>
          <w:lang w:eastAsia="de-AT"/>
        </w:rPr>
      </w:pPr>
    </w:p>
    <w:p w:rsidR="009A42E2" w:rsidRPr="00760643" w:rsidRDefault="009A42E2" w:rsidP="00290209">
      <w:pPr>
        <w:spacing w:before="100" w:beforeAutospacing="1" w:after="100" w:afterAutospacing="1"/>
        <w:jc w:val="both"/>
        <w:rPr>
          <w:rFonts w:ascii="Arial" w:eastAsia="Times New Roman" w:hAnsi="Arial" w:cs="Arial"/>
          <w:sz w:val="24"/>
          <w:szCs w:val="24"/>
          <w:lang w:eastAsia="de-AT"/>
        </w:rPr>
      </w:pPr>
    </w:p>
    <w:p w:rsidR="00290209" w:rsidRPr="00760643" w:rsidRDefault="00290209" w:rsidP="00290209">
      <w:pPr>
        <w:spacing w:before="100" w:beforeAutospacing="1" w:after="100" w:afterAutospacing="1"/>
        <w:jc w:val="both"/>
        <w:rPr>
          <w:rFonts w:ascii="Arial" w:eastAsia="Times New Roman" w:hAnsi="Arial" w:cs="Arial"/>
          <w:sz w:val="24"/>
          <w:szCs w:val="24"/>
          <w:lang w:eastAsia="de-AT"/>
        </w:rPr>
      </w:pPr>
    </w:p>
    <w:p w:rsidR="00290209" w:rsidRPr="00760643" w:rsidRDefault="00290209">
      <w:pPr>
        <w:rPr>
          <w:rFonts w:ascii="Arial" w:hAnsi="Arial" w:cs="Arial"/>
          <w:sz w:val="24"/>
          <w:szCs w:val="24"/>
        </w:rPr>
      </w:pPr>
    </w:p>
    <w:p w:rsidR="00290209" w:rsidRPr="00760643" w:rsidRDefault="00290209" w:rsidP="009A42E2">
      <w:pPr>
        <w:ind w:firstLine="708"/>
        <w:rPr>
          <w:rFonts w:ascii="Arial" w:hAnsi="Arial" w:cs="Arial"/>
          <w:sz w:val="24"/>
          <w:szCs w:val="24"/>
        </w:rPr>
      </w:pPr>
    </w:p>
    <w:p w:rsidR="00290209" w:rsidRPr="00760643" w:rsidRDefault="00290209">
      <w:pPr>
        <w:rPr>
          <w:rFonts w:ascii="Arial" w:hAnsi="Arial" w:cs="Arial"/>
          <w:sz w:val="24"/>
          <w:szCs w:val="24"/>
        </w:rPr>
      </w:pPr>
    </w:p>
    <w:p w:rsidR="00290209" w:rsidRPr="00760643" w:rsidRDefault="00290209">
      <w:pPr>
        <w:rPr>
          <w:rFonts w:ascii="Arial" w:hAnsi="Arial" w:cs="Arial"/>
          <w:sz w:val="24"/>
          <w:szCs w:val="24"/>
        </w:rPr>
      </w:pPr>
    </w:p>
    <w:sectPr w:rsidR="00290209" w:rsidRPr="00760643" w:rsidSect="00D016BB">
      <w:pgSz w:w="11906" w:h="16838"/>
      <w:pgMar w:top="-851" w:right="1133" w:bottom="1134" w:left="1134"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209" w:rsidRDefault="00290209" w:rsidP="00290209">
      <w:r>
        <w:separator/>
      </w:r>
    </w:p>
  </w:endnote>
  <w:endnote w:type="continuationSeparator" w:id="0">
    <w:p w:rsidR="00290209" w:rsidRDefault="00290209" w:rsidP="00290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209" w:rsidRDefault="00290209" w:rsidP="00290209">
      <w:r>
        <w:separator/>
      </w:r>
    </w:p>
  </w:footnote>
  <w:footnote w:type="continuationSeparator" w:id="0">
    <w:p w:rsidR="00290209" w:rsidRDefault="00290209" w:rsidP="002902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3FB1"/>
    <w:multiLevelType w:val="multilevel"/>
    <w:tmpl w:val="5204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C16644"/>
    <w:multiLevelType w:val="multilevel"/>
    <w:tmpl w:val="F74C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235CD"/>
    <w:multiLevelType w:val="multilevel"/>
    <w:tmpl w:val="8F94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0496B"/>
    <w:multiLevelType w:val="multilevel"/>
    <w:tmpl w:val="B150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A129C"/>
    <w:multiLevelType w:val="multilevel"/>
    <w:tmpl w:val="3EF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572642"/>
    <w:multiLevelType w:val="multilevel"/>
    <w:tmpl w:val="F01A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B9"/>
    <w:rsid w:val="00004A52"/>
    <w:rsid w:val="00005C6F"/>
    <w:rsid w:val="00043A0B"/>
    <w:rsid w:val="00044CB2"/>
    <w:rsid w:val="0005581C"/>
    <w:rsid w:val="000679B3"/>
    <w:rsid w:val="000E7F3A"/>
    <w:rsid w:val="00104E26"/>
    <w:rsid w:val="001156ED"/>
    <w:rsid w:val="00120AC7"/>
    <w:rsid w:val="00125B22"/>
    <w:rsid w:val="00134D65"/>
    <w:rsid w:val="00135BBC"/>
    <w:rsid w:val="001411C7"/>
    <w:rsid w:val="001575C8"/>
    <w:rsid w:val="00184FAD"/>
    <w:rsid w:val="0019594A"/>
    <w:rsid w:val="001A0EED"/>
    <w:rsid w:val="001A398F"/>
    <w:rsid w:val="002162C8"/>
    <w:rsid w:val="00242EBF"/>
    <w:rsid w:val="00245252"/>
    <w:rsid w:val="00255800"/>
    <w:rsid w:val="00256E44"/>
    <w:rsid w:val="00270857"/>
    <w:rsid w:val="002746BA"/>
    <w:rsid w:val="002808B1"/>
    <w:rsid w:val="00290209"/>
    <w:rsid w:val="0029042A"/>
    <w:rsid w:val="0029098C"/>
    <w:rsid w:val="00292939"/>
    <w:rsid w:val="002A6C23"/>
    <w:rsid w:val="002B7AF0"/>
    <w:rsid w:val="002D2C1C"/>
    <w:rsid w:val="002E4F87"/>
    <w:rsid w:val="002E5C30"/>
    <w:rsid w:val="002E64C1"/>
    <w:rsid w:val="00303A70"/>
    <w:rsid w:val="00316E4B"/>
    <w:rsid w:val="003330DE"/>
    <w:rsid w:val="003426AF"/>
    <w:rsid w:val="0034753E"/>
    <w:rsid w:val="003507BA"/>
    <w:rsid w:val="00363469"/>
    <w:rsid w:val="0036525B"/>
    <w:rsid w:val="0037004C"/>
    <w:rsid w:val="00376AC0"/>
    <w:rsid w:val="00391D1F"/>
    <w:rsid w:val="003A0922"/>
    <w:rsid w:val="003B5A76"/>
    <w:rsid w:val="003F494C"/>
    <w:rsid w:val="0040192D"/>
    <w:rsid w:val="00416702"/>
    <w:rsid w:val="0042257F"/>
    <w:rsid w:val="004338F9"/>
    <w:rsid w:val="00461EAF"/>
    <w:rsid w:val="00462DF7"/>
    <w:rsid w:val="00481303"/>
    <w:rsid w:val="004A175E"/>
    <w:rsid w:val="004C15CE"/>
    <w:rsid w:val="004F6305"/>
    <w:rsid w:val="004F70F6"/>
    <w:rsid w:val="00510036"/>
    <w:rsid w:val="00512EC4"/>
    <w:rsid w:val="00535226"/>
    <w:rsid w:val="005454B7"/>
    <w:rsid w:val="00545FA6"/>
    <w:rsid w:val="005476C3"/>
    <w:rsid w:val="00551165"/>
    <w:rsid w:val="00562004"/>
    <w:rsid w:val="00586E0B"/>
    <w:rsid w:val="005A60D3"/>
    <w:rsid w:val="005C27FC"/>
    <w:rsid w:val="005E2D90"/>
    <w:rsid w:val="005F5035"/>
    <w:rsid w:val="00604AC6"/>
    <w:rsid w:val="006338B5"/>
    <w:rsid w:val="006400C5"/>
    <w:rsid w:val="006422D4"/>
    <w:rsid w:val="0065241C"/>
    <w:rsid w:val="0066581D"/>
    <w:rsid w:val="00665A0C"/>
    <w:rsid w:val="00671027"/>
    <w:rsid w:val="00694D0F"/>
    <w:rsid w:val="006E1AF9"/>
    <w:rsid w:val="006E3AB1"/>
    <w:rsid w:val="006E3CC5"/>
    <w:rsid w:val="006E650B"/>
    <w:rsid w:val="007240DF"/>
    <w:rsid w:val="007244A5"/>
    <w:rsid w:val="00760643"/>
    <w:rsid w:val="00780A02"/>
    <w:rsid w:val="007843F9"/>
    <w:rsid w:val="007B513A"/>
    <w:rsid w:val="007F42CD"/>
    <w:rsid w:val="0080436C"/>
    <w:rsid w:val="0082743E"/>
    <w:rsid w:val="00835231"/>
    <w:rsid w:val="00836500"/>
    <w:rsid w:val="00857B9D"/>
    <w:rsid w:val="008950F0"/>
    <w:rsid w:val="00896B53"/>
    <w:rsid w:val="008C40B0"/>
    <w:rsid w:val="008C6EC1"/>
    <w:rsid w:val="008D307C"/>
    <w:rsid w:val="008E4698"/>
    <w:rsid w:val="00913A0F"/>
    <w:rsid w:val="00915B06"/>
    <w:rsid w:val="009337AF"/>
    <w:rsid w:val="00946AB1"/>
    <w:rsid w:val="00956777"/>
    <w:rsid w:val="00965273"/>
    <w:rsid w:val="00972853"/>
    <w:rsid w:val="009746D9"/>
    <w:rsid w:val="00980243"/>
    <w:rsid w:val="00981E2A"/>
    <w:rsid w:val="0099676E"/>
    <w:rsid w:val="009A3E88"/>
    <w:rsid w:val="009A42E2"/>
    <w:rsid w:val="00A14A17"/>
    <w:rsid w:val="00A15E23"/>
    <w:rsid w:val="00A22455"/>
    <w:rsid w:val="00A46426"/>
    <w:rsid w:val="00A50746"/>
    <w:rsid w:val="00A73078"/>
    <w:rsid w:val="00A77C3B"/>
    <w:rsid w:val="00A77EF2"/>
    <w:rsid w:val="00A83A98"/>
    <w:rsid w:val="00A95056"/>
    <w:rsid w:val="00AA0BBD"/>
    <w:rsid w:val="00AB024B"/>
    <w:rsid w:val="00AB4831"/>
    <w:rsid w:val="00AD1AA1"/>
    <w:rsid w:val="00AD4B2F"/>
    <w:rsid w:val="00AF455E"/>
    <w:rsid w:val="00B1023B"/>
    <w:rsid w:val="00B356A4"/>
    <w:rsid w:val="00B53067"/>
    <w:rsid w:val="00B62F51"/>
    <w:rsid w:val="00B6768C"/>
    <w:rsid w:val="00B70CBB"/>
    <w:rsid w:val="00B732DD"/>
    <w:rsid w:val="00B75DFF"/>
    <w:rsid w:val="00B932F0"/>
    <w:rsid w:val="00BA1A0A"/>
    <w:rsid w:val="00BA22B4"/>
    <w:rsid w:val="00BB211C"/>
    <w:rsid w:val="00BB7388"/>
    <w:rsid w:val="00BC6D47"/>
    <w:rsid w:val="00BD2292"/>
    <w:rsid w:val="00BF70BD"/>
    <w:rsid w:val="00BF7195"/>
    <w:rsid w:val="00C06EFF"/>
    <w:rsid w:val="00C26A8A"/>
    <w:rsid w:val="00C76AC9"/>
    <w:rsid w:val="00CA26B8"/>
    <w:rsid w:val="00CB3107"/>
    <w:rsid w:val="00CB4CC1"/>
    <w:rsid w:val="00CD2EC7"/>
    <w:rsid w:val="00CD73C9"/>
    <w:rsid w:val="00CE1F38"/>
    <w:rsid w:val="00CE2E90"/>
    <w:rsid w:val="00CF1E92"/>
    <w:rsid w:val="00D016BB"/>
    <w:rsid w:val="00D048CF"/>
    <w:rsid w:val="00D058D6"/>
    <w:rsid w:val="00D26A1E"/>
    <w:rsid w:val="00D33BA7"/>
    <w:rsid w:val="00D538C8"/>
    <w:rsid w:val="00D64C6D"/>
    <w:rsid w:val="00D74080"/>
    <w:rsid w:val="00D747D4"/>
    <w:rsid w:val="00D86160"/>
    <w:rsid w:val="00D95B5F"/>
    <w:rsid w:val="00DB3071"/>
    <w:rsid w:val="00DB3D5A"/>
    <w:rsid w:val="00DB4492"/>
    <w:rsid w:val="00DB5878"/>
    <w:rsid w:val="00DD36A3"/>
    <w:rsid w:val="00DD57CC"/>
    <w:rsid w:val="00E0480A"/>
    <w:rsid w:val="00E05671"/>
    <w:rsid w:val="00E21161"/>
    <w:rsid w:val="00E54721"/>
    <w:rsid w:val="00E67222"/>
    <w:rsid w:val="00E77388"/>
    <w:rsid w:val="00E84E74"/>
    <w:rsid w:val="00EA4AE8"/>
    <w:rsid w:val="00EA698E"/>
    <w:rsid w:val="00EB3FA0"/>
    <w:rsid w:val="00EB7846"/>
    <w:rsid w:val="00EF3D60"/>
    <w:rsid w:val="00F00D05"/>
    <w:rsid w:val="00F07C91"/>
    <w:rsid w:val="00F118B9"/>
    <w:rsid w:val="00F16CD8"/>
    <w:rsid w:val="00F33E66"/>
    <w:rsid w:val="00F41E96"/>
    <w:rsid w:val="00F46A0B"/>
    <w:rsid w:val="00F6493A"/>
    <w:rsid w:val="00F7085F"/>
    <w:rsid w:val="00F934C0"/>
    <w:rsid w:val="00FA2181"/>
    <w:rsid w:val="00FA636B"/>
    <w:rsid w:val="00FA7375"/>
    <w:rsid w:val="00FB5838"/>
    <w:rsid w:val="00FD2158"/>
    <w:rsid w:val="00FE1D8E"/>
    <w:rsid w:val="00FE4E94"/>
    <w:rsid w:val="00FE6C79"/>
    <w:rsid w:val="00FF08BA"/>
    <w:rsid w:val="00FF23E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02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0209"/>
    <w:rPr>
      <w:rFonts w:ascii="Tahoma" w:hAnsi="Tahoma" w:cs="Tahoma"/>
      <w:sz w:val="16"/>
      <w:szCs w:val="16"/>
    </w:rPr>
  </w:style>
  <w:style w:type="paragraph" w:styleId="Kopfzeile">
    <w:name w:val="header"/>
    <w:basedOn w:val="Standard"/>
    <w:link w:val="KopfzeileZchn"/>
    <w:uiPriority w:val="99"/>
    <w:unhideWhenUsed/>
    <w:rsid w:val="00290209"/>
    <w:pPr>
      <w:tabs>
        <w:tab w:val="center" w:pos="4536"/>
        <w:tab w:val="right" w:pos="9072"/>
      </w:tabs>
    </w:pPr>
  </w:style>
  <w:style w:type="character" w:customStyle="1" w:styleId="KopfzeileZchn">
    <w:name w:val="Kopfzeile Zchn"/>
    <w:basedOn w:val="Absatz-Standardschriftart"/>
    <w:link w:val="Kopfzeile"/>
    <w:uiPriority w:val="99"/>
    <w:rsid w:val="00290209"/>
  </w:style>
  <w:style w:type="paragraph" w:styleId="Fuzeile">
    <w:name w:val="footer"/>
    <w:basedOn w:val="Standard"/>
    <w:link w:val="FuzeileZchn"/>
    <w:uiPriority w:val="99"/>
    <w:unhideWhenUsed/>
    <w:rsid w:val="00290209"/>
    <w:pPr>
      <w:tabs>
        <w:tab w:val="center" w:pos="4536"/>
        <w:tab w:val="right" w:pos="9072"/>
      </w:tabs>
    </w:pPr>
  </w:style>
  <w:style w:type="character" w:customStyle="1" w:styleId="FuzeileZchn">
    <w:name w:val="Fußzeile Zchn"/>
    <w:basedOn w:val="Absatz-Standardschriftart"/>
    <w:link w:val="Fuzeile"/>
    <w:uiPriority w:val="99"/>
    <w:rsid w:val="002902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902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0209"/>
    <w:rPr>
      <w:rFonts w:ascii="Tahoma" w:hAnsi="Tahoma" w:cs="Tahoma"/>
      <w:sz w:val="16"/>
      <w:szCs w:val="16"/>
    </w:rPr>
  </w:style>
  <w:style w:type="paragraph" w:styleId="Kopfzeile">
    <w:name w:val="header"/>
    <w:basedOn w:val="Standard"/>
    <w:link w:val="KopfzeileZchn"/>
    <w:uiPriority w:val="99"/>
    <w:unhideWhenUsed/>
    <w:rsid w:val="00290209"/>
    <w:pPr>
      <w:tabs>
        <w:tab w:val="center" w:pos="4536"/>
        <w:tab w:val="right" w:pos="9072"/>
      </w:tabs>
    </w:pPr>
  </w:style>
  <w:style w:type="character" w:customStyle="1" w:styleId="KopfzeileZchn">
    <w:name w:val="Kopfzeile Zchn"/>
    <w:basedOn w:val="Absatz-Standardschriftart"/>
    <w:link w:val="Kopfzeile"/>
    <w:uiPriority w:val="99"/>
    <w:rsid w:val="00290209"/>
  </w:style>
  <w:style w:type="paragraph" w:styleId="Fuzeile">
    <w:name w:val="footer"/>
    <w:basedOn w:val="Standard"/>
    <w:link w:val="FuzeileZchn"/>
    <w:uiPriority w:val="99"/>
    <w:unhideWhenUsed/>
    <w:rsid w:val="00290209"/>
    <w:pPr>
      <w:tabs>
        <w:tab w:val="center" w:pos="4536"/>
        <w:tab w:val="right" w:pos="9072"/>
      </w:tabs>
    </w:pPr>
  </w:style>
  <w:style w:type="character" w:customStyle="1" w:styleId="FuzeileZchn">
    <w:name w:val="Fußzeile Zchn"/>
    <w:basedOn w:val="Absatz-Standardschriftart"/>
    <w:link w:val="Fuzeile"/>
    <w:uiPriority w:val="99"/>
    <w:rsid w:val="0029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76645">
      <w:bodyDiv w:val="1"/>
      <w:marLeft w:val="0"/>
      <w:marRight w:val="0"/>
      <w:marTop w:val="0"/>
      <w:marBottom w:val="0"/>
      <w:divBdr>
        <w:top w:val="none" w:sz="0" w:space="0" w:color="auto"/>
        <w:left w:val="none" w:sz="0" w:space="0" w:color="auto"/>
        <w:bottom w:val="none" w:sz="0" w:space="0" w:color="auto"/>
        <w:right w:val="none" w:sz="0" w:space="0" w:color="auto"/>
      </w:divBdr>
      <w:divsChild>
        <w:div w:id="1533493466">
          <w:marLeft w:val="0"/>
          <w:marRight w:val="0"/>
          <w:marTop w:val="0"/>
          <w:marBottom w:val="0"/>
          <w:divBdr>
            <w:top w:val="none" w:sz="0" w:space="0" w:color="auto"/>
            <w:left w:val="none" w:sz="0" w:space="0" w:color="auto"/>
            <w:bottom w:val="none" w:sz="0" w:space="0" w:color="auto"/>
            <w:right w:val="none" w:sz="0" w:space="0" w:color="auto"/>
          </w:divBdr>
          <w:divsChild>
            <w:div w:id="2010937565">
              <w:marLeft w:val="0"/>
              <w:marRight w:val="0"/>
              <w:marTop w:val="0"/>
              <w:marBottom w:val="0"/>
              <w:divBdr>
                <w:top w:val="none" w:sz="0" w:space="0" w:color="auto"/>
                <w:left w:val="none" w:sz="0" w:space="0" w:color="auto"/>
                <w:bottom w:val="none" w:sz="0" w:space="0" w:color="auto"/>
                <w:right w:val="none" w:sz="0" w:space="0" w:color="auto"/>
              </w:divBdr>
              <w:divsChild>
                <w:div w:id="15737809">
                  <w:marLeft w:val="0"/>
                  <w:marRight w:val="0"/>
                  <w:marTop w:val="0"/>
                  <w:marBottom w:val="0"/>
                  <w:divBdr>
                    <w:top w:val="none" w:sz="0" w:space="0" w:color="auto"/>
                    <w:left w:val="none" w:sz="0" w:space="0" w:color="auto"/>
                    <w:bottom w:val="none" w:sz="0" w:space="0" w:color="auto"/>
                    <w:right w:val="none" w:sz="0" w:space="0" w:color="auto"/>
                  </w:divBdr>
                </w:div>
                <w:div w:id="397096281">
                  <w:marLeft w:val="0"/>
                  <w:marRight w:val="0"/>
                  <w:marTop w:val="0"/>
                  <w:marBottom w:val="0"/>
                  <w:divBdr>
                    <w:top w:val="none" w:sz="0" w:space="0" w:color="auto"/>
                    <w:left w:val="none" w:sz="0" w:space="0" w:color="auto"/>
                    <w:bottom w:val="none" w:sz="0" w:space="0" w:color="auto"/>
                    <w:right w:val="none" w:sz="0" w:space="0" w:color="auto"/>
                  </w:divBdr>
                </w:div>
                <w:div w:id="598413471">
                  <w:marLeft w:val="0"/>
                  <w:marRight w:val="0"/>
                  <w:marTop w:val="0"/>
                  <w:marBottom w:val="0"/>
                  <w:divBdr>
                    <w:top w:val="none" w:sz="0" w:space="0" w:color="auto"/>
                    <w:left w:val="none" w:sz="0" w:space="0" w:color="auto"/>
                    <w:bottom w:val="none" w:sz="0" w:space="0" w:color="auto"/>
                    <w:right w:val="none" w:sz="0" w:space="0" w:color="auto"/>
                  </w:divBdr>
                </w:div>
                <w:div w:id="815535162">
                  <w:marLeft w:val="0"/>
                  <w:marRight w:val="0"/>
                  <w:marTop w:val="0"/>
                  <w:marBottom w:val="0"/>
                  <w:divBdr>
                    <w:top w:val="none" w:sz="0" w:space="0" w:color="auto"/>
                    <w:left w:val="none" w:sz="0" w:space="0" w:color="auto"/>
                    <w:bottom w:val="none" w:sz="0" w:space="0" w:color="auto"/>
                    <w:right w:val="none" w:sz="0" w:space="0" w:color="auto"/>
                  </w:divBdr>
                </w:div>
                <w:div w:id="1981643965">
                  <w:marLeft w:val="0"/>
                  <w:marRight w:val="0"/>
                  <w:marTop w:val="0"/>
                  <w:marBottom w:val="0"/>
                  <w:divBdr>
                    <w:top w:val="none" w:sz="0" w:space="0" w:color="auto"/>
                    <w:left w:val="none" w:sz="0" w:space="0" w:color="auto"/>
                    <w:bottom w:val="none" w:sz="0" w:space="0" w:color="auto"/>
                    <w:right w:val="none" w:sz="0" w:space="0" w:color="auto"/>
                  </w:divBdr>
                </w:div>
                <w:div w:id="1595283313">
                  <w:marLeft w:val="0"/>
                  <w:marRight w:val="0"/>
                  <w:marTop w:val="0"/>
                  <w:marBottom w:val="0"/>
                  <w:divBdr>
                    <w:top w:val="none" w:sz="0" w:space="0" w:color="auto"/>
                    <w:left w:val="none" w:sz="0" w:space="0" w:color="auto"/>
                    <w:bottom w:val="none" w:sz="0" w:space="0" w:color="auto"/>
                    <w:right w:val="none" w:sz="0" w:space="0" w:color="auto"/>
                  </w:divBdr>
                </w:div>
                <w:div w:id="15475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03561">
      <w:bodyDiv w:val="1"/>
      <w:marLeft w:val="0"/>
      <w:marRight w:val="0"/>
      <w:marTop w:val="0"/>
      <w:marBottom w:val="0"/>
      <w:divBdr>
        <w:top w:val="none" w:sz="0" w:space="0" w:color="auto"/>
        <w:left w:val="none" w:sz="0" w:space="0" w:color="auto"/>
        <w:bottom w:val="none" w:sz="0" w:space="0" w:color="auto"/>
        <w:right w:val="none" w:sz="0" w:space="0" w:color="auto"/>
      </w:divBdr>
      <w:divsChild>
        <w:div w:id="1851873343">
          <w:marLeft w:val="0"/>
          <w:marRight w:val="0"/>
          <w:marTop w:val="0"/>
          <w:marBottom w:val="0"/>
          <w:divBdr>
            <w:top w:val="none" w:sz="0" w:space="0" w:color="auto"/>
            <w:left w:val="none" w:sz="0" w:space="0" w:color="auto"/>
            <w:bottom w:val="none" w:sz="0" w:space="0" w:color="auto"/>
            <w:right w:val="none" w:sz="0" w:space="0" w:color="auto"/>
          </w:divBdr>
          <w:divsChild>
            <w:div w:id="6431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3960">
      <w:bodyDiv w:val="1"/>
      <w:marLeft w:val="0"/>
      <w:marRight w:val="0"/>
      <w:marTop w:val="0"/>
      <w:marBottom w:val="0"/>
      <w:divBdr>
        <w:top w:val="none" w:sz="0" w:space="0" w:color="auto"/>
        <w:left w:val="none" w:sz="0" w:space="0" w:color="auto"/>
        <w:bottom w:val="none" w:sz="0" w:space="0" w:color="auto"/>
        <w:right w:val="none" w:sz="0" w:space="0" w:color="auto"/>
      </w:divBdr>
      <w:divsChild>
        <w:div w:id="1080248186">
          <w:marLeft w:val="0"/>
          <w:marRight w:val="0"/>
          <w:marTop w:val="0"/>
          <w:marBottom w:val="0"/>
          <w:divBdr>
            <w:top w:val="none" w:sz="0" w:space="0" w:color="auto"/>
            <w:left w:val="none" w:sz="0" w:space="0" w:color="auto"/>
            <w:bottom w:val="none" w:sz="0" w:space="0" w:color="auto"/>
            <w:right w:val="none" w:sz="0" w:space="0" w:color="auto"/>
          </w:divBdr>
        </w:div>
        <w:div w:id="120195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vi.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les.justimmo.at/public/doc/AGpz_EOy2g.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8E09AA6-20B0-418F-80B4-8795C772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4537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JAIMMO</cp:lastModifiedBy>
  <cp:revision>7</cp:revision>
  <dcterms:created xsi:type="dcterms:W3CDTF">2017-07-17T23:46:00Z</dcterms:created>
  <dcterms:modified xsi:type="dcterms:W3CDTF">2017-07-18T00:11:00Z</dcterms:modified>
</cp:coreProperties>
</file>